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8C5" w:rsidRDefault="00E278C5" w:rsidP="00E278C5">
      <w:pPr>
        <w:spacing w:after="0" w:line="240" w:lineRule="auto"/>
        <w:jc w:val="both"/>
        <w:rPr>
          <w:rFonts w:ascii="Segoe UI" w:eastAsia="Times New Roman" w:hAnsi="Segoe UI" w:cs="Segoe UI"/>
          <w:color w:val="000000"/>
          <w:sz w:val="18"/>
          <w:szCs w:val="18"/>
          <w:lang w:eastAsia="es-CO"/>
        </w:rPr>
      </w:pPr>
    </w:p>
    <w:p w:rsidR="00E278C5" w:rsidRPr="00E278C5" w:rsidRDefault="00E278C5" w:rsidP="00E278C5">
      <w:pPr>
        <w:spacing w:after="0" w:line="240" w:lineRule="auto"/>
        <w:jc w:val="both"/>
        <w:rPr>
          <w:rFonts w:ascii="Arial" w:eastAsia="Times New Roman" w:hAnsi="Arial" w:cs="Arial"/>
          <w:color w:val="000000"/>
          <w:sz w:val="18"/>
          <w:szCs w:val="18"/>
          <w:lang w:eastAsia="es-CO"/>
        </w:rPr>
      </w:pPr>
      <w:r w:rsidRPr="00E278C5">
        <w:rPr>
          <w:rFonts w:ascii="Segoe UI" w:eastAsia="Times New Roman" w:hAnsi="Segoe UI" w:cs="Segoe UI"/>
          <w:b/>
          <w:bCs/>
          <w:color w:val="0000FF"/>
          <w:sz w:val="18"/>
          <w:szCs w:val="18"/>
          <w:lang w:eastAsia="es-CO"/>
        </w:rPr>
        <w:t> </w:t>
      </w:r>
    </w:p>
    <w:p w:rsidR="00E278C5" w:rsidRPr="00E278C5" w:rsidRDefault="00E278C5" w:rsidP="00E278C5">
      <w:pPr>
        <w:spacing w:after="0" w:line="240" w:lineRule="auto"/>
        <w:jc w:val="center"/>
        <w:rPr>
          <w:rFonts w:ascii="Arial" w:eastAsia="Times New Roman" w:hAnsi="Arial" w:cs="Arial"/>
          <w:color w:val="000000"/>
          <w:sz w:val="18"/>
          <w:szCs w:val="18"/>
          <w:lang w:eastAsia="es-CO"/>
        </w:rPr>
      </w:pPr>
      <w:r w:rsidRPr="00E278C5">
        <w:rPr>
          <w:rFonts w:ascii="Segoe UI" w:eastAsia="Times New Roman" w:hAnsi="Segoe UI" w:cs="Segoe UI"/>
          <w:b/>
          <w:bCs/>
          <w:color w:val="0000FF"/>
          <w:sz w:val="18"/>
          <w:szCs w:val="18"/>
          <w:lang w:eastAsia="es-CO"/>
        </w:rPr>
        <w:t> </w:t>
      </w:r>
      <w:r w:rsidRPr="00E278C5">
        <w:rPr>
          <w:rFonts w:ascii="Segoe UI" w:eastAsia="Times New Roman" w:hAnsi="Segoe UI" w:cs="Segoe UI"/>
          <w:b/>
          <w:bCs/>
          <w:color w:val="0000FF"/>
          <w:sz w:val="28"/>
          <w:szCs w:val="28"/>
          <w:lang w:eastAsia="es-CO"/>
        </w:rPr>
        <w:t>OFICIO Nº 2109 [900425]</w:t>
      </w:r>
    </w:p>
    <w:p w:rsidR="00E278C5" w:rsidRPr="00E278C5" w:rsidRDefault="00E278C5" w:rsidP="00E278C5">
      <w:pPr>
        <w:spacing w:after="0" w:line="240" w:lineRule="auto"/>
        <w:jc w:val="center"/>
        <w:rPr>
          <w:rFonts w:ascii="Arial" w:eastAsia="Times New Roman" w:hAnsi="Arial" w:cs="Arial"/>
          <w:color w:val="000000"/>
          <w:sz w:val="18"/>
          <w:szCs w:val="18"/>
          <w:lang w:eastAsia="es-CO"/>
        </w:rPr>
      </w:pPr>
      <w:r w:rsidRPr="00E278C5">
        <w:rPr>
          <w:rFonts w:ascii="Segoe UI" w:eastAsia="Times New Roman" w:hAnsi="Segoe UI" w:cs="Segoe UI"/>
          <w:b/>
          <w:bCs/>
          <w:color w:val="0000FF"/>
          <w:sz w:val="28"/>
          <w:szCs w:val="28"/>
          <w:lang w:eastAsia="es-CO"/>
        </w:rPr>
        <w:t>27-11-2018</w:t>
      </w:r>
    </w:p>
    <w:p w:rsidR="00E278C5" w:rsidRPr="00E278C5" w:rsidRDefault="00E278C5" w:rsidP="00E278C5">
      <w:pPr>
        <w:spacing w:after="0" w:line="240" w:lineRule="auto"/>
        <w:jc w:val="center"/>
        <w:rPr>
          <w:rFonts w:ascii="Arial" w:eastAsia="Times New Roman" w:hAnsi="Arial" w:cs="Arial"/>
          <w:color w:val="000000"/>
          <w:sz w:val="18"/>
          <w:szCs w:val="18"/>
          <w:lang w:eastAsia="es-CO"/>
        </w:rPr>
      </w:pPr>
      <w:r w:rsidRPr="00E278C5">
        <w:rPr>
          <w:rFonts w:ascii="Segoe UI" w:eastAsia="Times New Roman" w:hAnsi="Segoe UI" w:cs="Segoe UI"/>
          <w:b/>
          <w:bCs/>
          <w:color w:val="0000FF"/>
          <w:sz w:val="28"/>
          <w:szCs w:val="28"/>
          <w:lang w:eastAsia="es-CO"/>
        </w:rPr>
        <w:t>DIAN</w:t>
      </w:r>
    </w:p>
    <w:p w:rsidR="00E278C5" w:rsidRPr="00E278C5" w:rsidRDefault="00E278C5" w:rsidP="00E278C5">
      <w:pPr>
        <w:spacing w:after="0" w:line="240" w:lineRule="auto"/>
        <w:jc w:val="both"/>
        <w:rPr>
          <w:rFonts w:ascii="Arial" w:eastAsia="Times New Roman" w:hAnsi="Arial" w:cs="Arial"/>
          <w:color w:val="000000"/>
          <w:sz w:val="18"/>
          <w:szCs w:val="18"/>
          <w:lang w:eastAsia="es-CO"/>
        </w:rPr>
      </w:pPr>
      <w:bookmarkStart w:id="0" w:name="_GoBack"/>
      <w:bookmarkEnd w:id="0"/>
    </w:p>
    <w:p w:rsidR="00E278C5" w:rsidRPr="00E278C5" w:rsidRDefault="00E278C5" w:rsidP="00E278C5">
      <w:pPr>
        <w:spacing w:after="0" w:line="240" w:lineRule="auto"/>
        <w:jc w:val="both"/>
        <w:rPr>
          <w:rFonts w:ascii="Arial" w:eastAsia="Times New Roman" w:hAnsi="Arial" w:cs="Arial"/>
          <w:color w:val="000000"/>
          <w:sz w:val="18"/>
          <w:szCs w:val="18"/>
          <w:lang w:eastAsia="es-CO"/>
        </w:rPr>
      </w:pPr>
      <w:r w:rsidRPr="00E278C5">
        <w:rPr>
          <w:rFonts w:ascii="Segoe UI" w:eastAsia="Times New Roman" w:hAnsi="Segoe UI" w:cs="Segoe UI"/>
          <w:color w:val="000000"/>
          <w:sz w:val="18"/>
          <w:szCs w:val="18"/>
          <w:lang w:eastAsia="es-CO"/>
        </w:rPr>
        <w:t>Subdirección de Gestión Normativa y Doctrina</w:t>
      </w:r>
    </w:p>
    <w:p w:rsidR="00E278C5" w:rsidRPr="00E278C5" w:rsidRDefault="00E278C5" w:rsidP="00E278C5">
      <w:pPr>
        <w:spacing w:after="0" w:line="240" w:lineRule="auto"/>
        <w:jc w:val="both"/>
        <w:rPr>
          <w:rFonts w:ascii="Arial" w:eastAsia="Times New Roman" w:hAnsi="Arial" w:cs="Arial"/>
          <w:color w:val="000000"/>
          <w:sz w:val="18"/>
          <w:szCs w:val="18"/>
          <w:lang w:eastAsia="es-CO"/>
        </w:rPr>
      </w:pPr>
      <w:r w:rsidRPr="00E278C5">
        <w:rPr>
          <w:rFonts w:ascii="Segoe UI" w:eastAsia="Times New Roman" w:hAnsi="Segoe UI" w:cs="Segoe UI"/>
          <w:color w:val="000000"/>
          <w:sz w:val="18"/>
          <w:szCs w:val="18"/>
          <w:lang w:eastAsia="es-CO"/>
        </w:rPr>
        <w:t>100208221 – 002109</w:t>
      </w:r>
    </w:p>
    <w:p w:rsidR="00E278C5" w:rsidRPr="00E278C5" w:rsidRDefault="00E278C5" w:rsidP="00E278C5">
      <w:pPr>
        <w:spacing w:after="0" w:line="240" w:lineRule="auto"/>
        <w:jc w:val="both"/>
        <w:rPr>
          <w:rFonts w:ascii="Arial" w:eastAsia="Times New Roman" w:hAnsi="Arial" w:cs="Arial"/>
          <w:color w:val="000000"/>
          <w:sz w:val="18"/>
          <w:szCs w:val="18"/>
          <w:lang w:eastAsia="es-CO"/>
        </w:rPr>
      </w:pPr>
      <w:r w:rsidRPr="00E278C5">
        <w:rPr>
          <w:rFonts w:ascii="Segoe UI" w:eastAsia="Times New Roman" w:hAnsi="Segoe UI" w:cs="Segoe UI"/>
          <w:color w:val="000000"/>
          <w:sz w:val="18"/>
          <w:szCs w:val="18"/>
          <w:lang w:eastAsia="es-CO"/>
        </w:rPr>
        <w:t>Bogotá, D.C.</w:t>
      </w:r>
    </w:p>
    <w:p w:rsidR="00E278C5" w:rsidRPr="00E278C5" w:rsidRDefault="00E278C5" w:rsidP="00E278C5">
      <w:pPr>
        <w:spacing w:after="0" w:line="240" w:lineRule="auto"/>
        <w:jc w:val="both"/>
        <w:rPr>
          <w:rFonts w:ascii="Arial" w:eastAsia="Times New Roman" w:hAnsi="Arial" w:cs="Arial"/>
          <w:color w:val="000000"/>
          <w:sz w:val="18"/>
          <w:szCs w:val="18"/>
          <w:lang w:eastAsia="es-CO"/>
        </w:rPr>
      </w:pPr>
      <w:r w:rsidRPr="00E278C5">
        <w:rPr>
          <w:rFonts w:ascii="Segoe UI" w:eastAsia="Times New Roman" w:hAnsi="Segoe UI" w:cs="Segoe UI"/>
          <w:color w:val="000000"/>
          <w:sz w:val="18"/>
          <w:szCs w:val="18"/>
          <w:lang w:eastAsia="es-CO"/>
        </w:rPr>
        <w:t> </w:t>
      </w:r>
    </w:p>
    <w:p w:rsidR="00E278C5" w:rsidRPr="00E278C5" w:rsidRDefault="00E278C5" w:rsidP="00E278C5">
      <w:pPr>
        <w:spacing w:after="0" w:line="240" w:lineRule="auto"/>
        <w:jc w:val="both"/>
        <w:rPr>
          <w:rFonts w:ascii="Arial" w:eastAsia="Times New Roman" w:hAnsi="Arial" w:cs="Arial"/>
          <w:color w:val="000000"/>
          <w:sz w:val="18"/>
          <w:szCs w:val="18"/>
          <w:lang w:eastAsia="es-CO"/>
        </w:rPr>
      </w:pPr>
      <w:proofErr w:type="spellStart"/>
      <w:r w:rsidRPr="00E278C5">
        <w:rPr>
          <w:rFonts w:ascii="Segoe UI" w:eastAsia="Times New Roman" w:hAnsi="Segoe UI" w:cs="Segoe UI"/>
          <w:b/>
          <w:bCs/>
          <w:color w:val="000000"/>
          <w:sz w:val="18"/>
          <w:szCs w:val="18"/>
          <w:lang w:eastAsia="es-CO"/>
        </w:rPr>
        <w:t>Ref</w:t>
      </w:r>
      <w:proofErr w:type="spellEnd"/>
      <w:r w:rsidRPr="00E278C5">
        <w:rPr>
          <w:rFonts w:ascii="Segoe UI" w:eastAsia="Times New Roman" w:hAnsi="Segoe UI" w:cs="Segoe UI"/>
          <w:b/>
          <w:bCs/>
          <w:color w:val="000000"/>
          <w:sz w:val="18"/>
          <w:szCs w:val="18"/>
          <w:lang w:eastAsia="es-CO"/>
        </w:rPr>
        <w:t>:</w:t>
      </w:r>
      <w:r w:rsidRPr="00E278C5">
        <w:rPr>
          <w:rFonts w:ascii="Segoe UI" w:eastAsia="Times New Roman" w:hAnsi="Segoe UI" w:cs="Segoe UI"/>
          <w:color w:val="000000"/>
          <w:sz w:val="18"/>
          <w:szCs w:val="18"/>
          <w:lang w:eastAsia="es-CO"/>
        </w:rPr>
        <w:t> Radicado 100067897 del 12/10/2018</w:t>
      </w:r>
    </w:p>
    <w:p w:rsidR="00E278C5" w:rsidRPr="00E278C5" w:rsidRDefault="00E278C5" w:rsidP="00E278C5">
      <w:pPr>
        <w:spacing w:after="0" w:line="240" w:lineRule="auto"/>
        <w:jc w:val="both"/>
        <w:rPr>
          <w:rFonts w:ascii="Arial" w:eastAsia="Times New Roman" w:hAnsi="Arial" w:cs="Arial"/>
          <w:color w:val="000000"/>
          <w:sz w:val="18"/>
          <w:szCs w:val="18"/>
          <w:lang w:eastAsia="es-CO"/>
        </w:rPr>
      </w:pPr>
      <w:r w:rsidRPr="00E278C5">
        <w:rPr>
          <w:rFonts w:ascii="Segoe UI" w:eastAsia="Times New Roman" w:hAnsi="Segoe UI" w:cs="Segoe UI"/>
          <w:color w:val="000000"/>
          <w:sz w:val="18"/>
          <w:szCs w:val="18"/>
          <w:lang w:eastAsia="es-CO"/>
        </w:rPr>
        <w:t> </w:t>
      </w:r>
    </w:p>
    <w:p w:rsidR="00E278C5" w:rsidRPr="00E278C5" w:rsidRDefault="00E278C5" w:rsidP="00E278C5">
      <w:pPr>
        <w:spacing w:after="0" w:line="240" w:lineRule="auto"/>
        <w:jc w:val="both"/>
        <w:rPr>
          <w:rFonts w:ascii="Arial" w:eastAsia="Times New Roman" w:hAnsi="Arial" w:cs="Arial"/>
          <w:color w:val="000000"/>
          <w:sz w:val="18"/>
          <w:szCs w:val="18"/>
          <w:lang w:eastAsia="es-CO"/>
        </w:rPr>
      </w:pPr>
      <w:r w:rsidRPr="00E278C5">
        <w:rPr>
          <w:rFonts w:ascii="Segoe UI" w:eastAsia="Times New Roman" w:hAnsi="Segoe UI" w:cs="Segoe UI"/>
          <w:color w:val="000000"/>
          <w:sz w:val="18"/>
          <w:szCs w:val="18"/>
          <w:lang w:eastAsia="es-CO"/>
        </w:rPr>
        <w:t>Cordial saludo, señor Rivas:</w:t>
      </w:r>
    </w:p>
    <w:p w:rsidR="00E278C5" w:rsidRPr="00E278C5" w:rsidRDefault="00E278C5" w:rsidP="00E278C5">
      <w:pPr>
        <w:spacing w:after="0" w:line="240" w:lineRule="auto"/>
        <w:jc w:val="both"/>
        <w:rPr>
          <w:rFonts w:ascii="Arial" w:eastAsia="Times New Roman" w:hAnsi="Arial" w:cs="Arial"/>
          <w:color w:val="000000"/>
          <w:sz w:val="18"/>
          <w:szCs w:val="18"/>
          <w:lang w:eastAsia="es-CO"/>
        </w:rPr>
      </w:pPr>
      <w:r w:rsidRPr="00E278C5">
        <w:rPr>
          <w:rFonts w:ascii="Segoe UI" w:eastAsia="Times New Roman" w:hAnsi="Segoe UI" w:cs="Segoe UI"/>
          <w:color w:val="000000"/>
          <w:sz w:val="18"/>
          <w:szCs w:val="18"/>
          <w:lang w:eastAsia="es-CO"/>
        </w:rPr>
        <w:t> </w:t>
      </w:r>
    </w:p>
    <w:p w:rsidR="00E278C5" w:rsidRPr="00E278C5" w:rsidRDefault="00E278C5" w:rsidP="00E278C5">
      <w:pPr>
        <w:spacing w:after="0" w:line="240" w:lineRule="auto"/>
        <w:jc w:val="both"/>
        <w:rPr>
          <w:rFonts w:ascii="Arial" w:eastAsia="Times New Roman" w:hAnsi="Arial" w:cs="Arial"/>
          <w:color w:val="000000"/>
          <w:sz w:val="18"/>
          <w:szCs w:val="18"/>
          <w:lang w:eastAsia="es-CO"/>
        </w:rPr>
      </w:pPr>
      <w:r w:rsidRPr="00E278C5">
        <w:rPr>
          <w:rFonts w:ascii="Segoe UI" w:eastAsia="Times New Roman" w:hAnsi="Segoe UI" w:cs="Segoe UI"/>
          <w:color w:val="000000"/>
          <w:sz w:val="18"/>
          <w:szCs w:val="18"/>
          <w:lang w:eastAsia="es-CO"/>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rsidR="00E278C5" w:rsidRPr="00E278C5" w:rsidRDefault="00E278C5" w:rsidP="00E278C5">
      <w:pPr>
        <w:spacing w:after="0" w:line="240" w:lineRule="auto"/>
        <w:jc w:val="both"/>
        <w:rPr>
          <w:rFonts w:ascii="Arial" w:eastAsia="Times New Roman" w:hAnsi="Arial" w:cs="Arial"/>
          <w:color w:val="000000"/>
          <w:sz w:val="18"/>
          <w:szCs w:val="18"/>
          <w:lang w:eastAsia="es-CO"/>
        </w:rPr>
      </w:pPr>
      <w:r w:rsidRPr="00E278C5">
        <w:rPr>
          <w:rFonts w:ascii="Segoe UI" w:eastAsia="Times New Roman" w:hAnsi="Segoe UI" w:cs="Segoe UI"/>
          <w:color w:val="000000"/>
          <w:sz w:val="18"/>
          <w:szCs w:val="18"/>
          <w:lang w:eastAsia="es-CO"/>
        </w:rPr>
        <w:t> </w:t>
      </w:r>
    </w:p>
    <w:p w:rsidR="00E278C5" w:rsidRPr="00E278C5" w:rsidRDefault="00E278C5" w:rsidP="00E278C5">
      <w:pPr>
        <w:spacing w:after="0" w:line="240" w:lineRule="auto"/>
        <w:jc w:val="both"/>
        <w:rPr>
          <w:rFonts w:ascii="Arial" w:eastAsia="Times New Roman" w:hAnsi="Arial" w:cs="Arial"/>
          <w:color w:val="000000"/>
          <w:sz w:val="18"/>
          <w:szCs w:val="18"/>
          <w:lang w:eastAsia="es-CO"/>
        </w:rPr>
      </w:pPr>
      <w:r w:rsidRPr="00E278C5">
        <w:rPr>
          <w:rFonts w:ascii="Segoe UI" w:eastAsia="Times New Roman" w:hAnsi="Segoe UI" w:cs="Segoe UI"/>
          <w:color w:val="000000"/>
          <w:sz w:val="18"/>
          <w:szCs w:val="18"/>
          <w:lang w:eastAsia="es-CO"/>
        </w:rPr>
        <w:t>Corresponde explicar que las facultades de esta dependencia se concretan en la interpretación de las normas atrás mencionadas, razón por la cual no corresponde en ejercicio de dichas funciones prestar asesoría específica para atender casos particulares que son tramitados ante otras dependencias o entidades ni juzgar o calificar las decisiones tomadas en las mismas.</w:t>
      </w:r>
    </w:p>
    <w:p w:rsidR="00E278C5" w:rsidRPr="00E278C5" w:rsidRDefault="00E278C5" w:rsidP="00E278C5">
      <w:pPr>
        <w:spacing w:after="0" w:line="240" w:lineRule="auto"/>
        <w:jc w:val="both"/>
        <w:rPr>
          <w:rFonts w:ascii="Arial" w:eastAsia="Times New Roman" w:hAnsi="Arial" w:cs="Arial"/>
          <w:color w:val="000000"/>
          <w:sz w:val="18"/>
          <w:szCs w:val="18"/>
          <w:lang w:eastAsia="es-CO"/>
        </w:rPr>
      </w:pPr>
      <w:r w:rsidRPr="00E278C5">
        <w:rPr>
          <w:rFonts w:ascii="Segoe UI" w:eastAsia="Times New Roman" w:hAnsi="Segoe UI" w:cs="Segoe UI"/>
          <w:color w:val="000000"/>
          <w:sz w:val="18"/>
          <w:szCs w:val="18"/>
          <w:lang w:eastAsia="es-CO"/>
        </w:rPr>
        <w:t> </w:t>
      </w:r>
    </w:p>
    <w:p w:rsidR="00E278C5" w:rsidRPr="00E278C5" w:rsidRDefault="00E278C5" w:rsidP="00E278C5">
      <w:pPr>
        <w:spacing w:after="0" w:line="240" w:lineRule="auto"/>
        <w:jc w:val="both"/>
        <w:rPr>
          <w:rFonts w:ascii="Arial" w:eastAsia="Times New Roman" w:hAnsi="Arial" w:cs="Arial"/>
          <w:color w:val="000000"/>
          <w:sz w:val="18"/>
          <w:szCs w:val="18"/>
          <w:lang w:eastAsia="es-CO"/>
        </w:rPr>
      </w:pPr>
      <w:r w:rsidRPr="00E278C5">
        <w:rPr>
          <w:rFonts w:ascii="Segoe UI" w:eastAsia="Times New Roman" w:hAnsi="Segoe UI" w:cs="Segoe UI"/>
          <w:color w:val="000000"/>
          <w:sz w:val="18"/>
          <w:szCs w:val="18"/>
          <w:lang w:eastAsia="es-CO"/>
        </w:rPr>
        <w:t>En igual sentido, los conceptos que se emiten por este despacho tienen como fundamento las circunstancias presentadas en las consultas y buscan atender los supuestos de hecho y derecho expuestos en estas en forma general; por ello, se recomienda que la lectura del mismo se haga en forma integral para la comprensión de su alcance, el cual no debe extenderse a situaciones diferentes a las planteadas y estudiadas.</w:t>
      </w:r>
    </w:p>
    <w:p w:rsidR="00E278C5" w:rsidRPr="00E278C5" w:rsidRDefault="00E278C5" w:rsidP="00E278C5">
      <w:pPr>
        <w:spacing w:after="0" w:line="240" w:lineRule="auto"/>
        <w:jc w:val="both"/>
        <w:rPr>
          <w:rFonts w:ascii="Arial" w:eastAsia="Times New Roman" w:hAnsi="Arial" w:cs="Arial"/>
          <w:color w:val="000000"/>
          <w:sz w:val="18"/>
          <w:szCs w:val="18"/>
          <w:lang w:eastAsia="es-CO"/>
        </w:rPr>
      </w:pPr>
      <w:r w:rsidRPr="00E278C5">
        <w:rPr>
          <w:rFonts w:ascii="Segoe UI" w:eastAsia="Times New Roman" w:hAnsi="Segoe UI" w:cs="Segoe UI"/>
          <w:color w:val="000000"/>
          <w:sz w:val="18"/>
          <w:szCs w:val="18"/>
          <w:lang w:eastAsia="es-CO"/>
        </w:rPr>
        <w:t> </w:t>
      </w:r>
    </w:p>
    <w:p w:rsidR="00E278C5" w:rsidRPr="00E278C5" w:rsidRDefault="00E278C5" w:rsidP="00E278C5">
      <w:pPr>
        <w:spacing w:after="0" w:line="240" w:lineRule="auto"/>
        <w:jc w:val="both"/>
        <w:rPr>
          <w:rFonts w:ascii="Arial" w:eastAsia="Times New Roman" w:hAnsi="Arial" w:cs="Arial"/>
          <w:color w:val="000000"/>
          <w:sz w:val="18"/>
          <w:szCs w:val="18"/>
          <w:lang w:eastAsia="es-CO"/>
        </w:rPr>
      </w:pPr>
      <w:r w:rsidRPr="00E278C5">
        <w:rPr>
          <w:rFonts w:ascii="Segoe UI" w:eastAsia="Times New Roman" w:hAnsi="Segoe UI" w:cs="Segoe UI"/>
          <w:color w:val="000000"/>
          <w:sz w:val="18"/>
          <w:szCs w:val="18"/>
          <w:lang w:eastAsia="es-CO"/>
        </w:rPr>
        <w:t>En atención a la consulta, en la que señala:</w:t>
      </w:r>
    </w:p>
    <w:p w:rsidR="00E278C5" w:rsidRPr="00E278C5" w:rsidRDefault="00E278C5" w:rsidP="00E278C5">
      <w:pPr>
        <w:spacing w:after="0" w:line="240" w:lineRule="auto"/>
        <w:ind w:left="180"/>
        <w:jc w:val="both"/>
        <w:rPr>
          <w:rFonts w:ascii="Arial" w:eastAsia="Times New Roman" w:hAnsi="Arial" w:cs="Arial"/>
          <w:color w:val="000000"/>
          <w:sz w:val="18"/>
          <w:szCs w:val="18"/>
          <w:lang w:eastAsia="es-CO"/>
        </w:rPr>
      </w:pPr>
      <w:r w:rsidRPr="00E278C5">
        <w:rPr>
          <w:rFonts w:ascii="Segoe UI" w:eastAsia="Times New Roman" w:hAnsi="Segoe UI" w:cs="Segoe UI"/>
          <w:color w:val="000000"/>
          <w:sz w:val="18"/>
          <w:szCs w:val="18"/>
          <w:lang w:eastAsia="es-CO"/>
        </w:rPr>
        <w:t> </w:t>
      </w:r>
    </w:p>
    <w:p w:rsidR="00E278C5" w:rsidRPr="00E278C5" w:rsidRDefault="00E278C5" w:rsidP="00E278C5">
      <w:pPr>
        <w:spacing w:after="0" w:line="240" w:lineRule="auto"/>
        <w:ind w:left="180"/>
        <w:jc w:val="both"/>
        <w:rPr>
          <w:rFonts w:ascii="Arial" w:eastAsia="Times New Roman" w:hAnsi="Arial" w:cs="Arial"/>
          <w:color w:val="000000"/>
          <w:sz w:val="18"/>
          <w:szCs w:val="18"/>
          <w:lang w:eastAsia="es-CO"/>
        </w:rPr>
      </w:pPr>
      <w:r w:rsidRPr="00E278C5">
        <w:rPr>
          <w:rFonts w:ascii="Segoe UI" w:eastAsia="Times New Roman" w:hAnsi="Segoe UI" w:cs="Segoe UI"/>
          <w:color w:val="000000"/>
          <w:sz w:val="18"/>
          <w:szCs w:val="18"/>
          <w:lang w:eastAsia="es-CO"/>
        </w:rPr>
        <w:t>“(…)</w:t>
      </w:r>
    </w:p>
    <w:p w:rsidR="00E278C5" w:rsidRPr="00E278C5" w:rsidRDefault="00E278C5" w:rsidP="00E278C5">
      <w:pPr>
        <w:spacing w:after="0" w:line="240" w:lineRule="auto"/>
        <w:ind w:left="180"/>
        <w:jc w:val="both"/>
        <w:rPr>
          <w:rFonts w:ascii="Arial" w:eastAsia="Times New Roman" w:hAnsi="Arial" w:cs="Arial"/>
          <w:color w:val="000000"/>
          <w:sz w:val="18"/>
          <w:szCs w:val="18"/>
          <w:lang w:eastAsia="es-CO"/>
        </w:rPr>
      </w:pPr>
      <w:r w:rsidRPr="00E278C5">
        <w:rPr>
          <w:rFonts w:ascii="Segoe UI" w:eastAsia="Times New Roman" w:hAnsi="Segoe UI" w:cs="Segoe UI"/>
          <w:color w:val="000000"/>
          <w:sz w:val="18"/>
          <w:szCs w:val="18"/>
          <w:lang w:eastAsia="es-CO"/>
        </w:rPr>
        <w:t>Del contexto normativo y doctrinario expuesto, respetuosamente se solicita a su despacho se pronuncie en forma expresa sobre </w:t>
      </w:r>
      <w:r w:rsidRPr="00E278C5">
        <w:rPr>
          <w:rFonts w:ascii="Segoe UI" w:eastAsia="Times New Roman" w:hAnsi="Segoe UI" w:cs="Segoe UI"/>
          <w:b/>
          <w:bCs/>
          <w:color w:val="000000"/>
          <w:sz w:val="18"/>
          <w:szCs w:val="18"/>
          <w:u w:val="single"/>
          <w:lang w:eastAsia="es-CO"/>
        </w:rPr>
        <w:t xml:space="preserve">¿cómo se debe depurar la base de retención en la fuente de los honorarios que se consideran rentas no </w:t>
      </w:r>
      <w:proofErr w:type="gramStart"/>
      <w:r w:rsidRPr="00E278C5">
        <w:rPr>
          <w:rFonts w:ascii="Segoe UI" w:eastAsia="Times New Roman" w:hAnsi="Segoe UI" w:cs="Segoe UI"/>
          <w:b/>
          <w:bCs/>
          <w:color w:val="000000"/>
          <w:sz w:val="18"/>
          <w:szCs w:val="18"/>
          <w:u w:val="single"/>
          <w:lang w:eastAsia="es-CO"/>
        </w:rPr>
        <w:t>laborales?.</w:t>
      </w:r>
      <w:proofErr w:type="gramEnd"/>
    </w:p>
    <w:p w:rsidR="00E278C5" w:rsidRPr="00E278C5" w:rsidRDefault="00E278C5" w:rsidP="00E278C5">
      <w:pPr>
        <w:spacing w:after="0" w:line="240" w:lineRule="auto"/>
        <w:ind w:left="180"/>
        <w:jc w:val="both"/>
        <w:rPr>
          <w:rFonts w:ascii="Arial" w:eastAsia="Times New Roman" w:hAnsi="Arial" w:cs="Arial"/>
          <w:color w:val="000000"/>
          <w:sz w:val="18"/>
          <w:szCs w:val="18"/>
          <w:lang w:eastAsia="es-CO"/>
        </w:rPr>
      </w:pPr>
      <w:r w:rsidRPr="00E278C5">
        <w:rPr>
          <w:rFonts w:ascii="Segoe UI" w:eastAsia="Times New Roman" w:hAnsi="Segoe UI" w:cs="Segoe UI"/>
          <w:color w:val="000000"/>
          <w:sz w:val="18"/>
          <w:szCs w:val="18"/>
          <w:lang w:eastAsia="es-CO"/>
        </w:rPr>
        <w:t> </w:t>
      </w:r>
    </w:p>
    <w:p w:rsidR="00E278C5" w:rsidRPr="00E278C5" w:rsidRDefault="00E278C5" w:rsidP="00E278C5">
      <w:pPr>
        <w:spacing w:after="0" w:line="240" w:lineRule="auto"/>
        <w:ind w:left="180"/>
        <w:jc w:val="both"/>
        <w:rPr>
          <w:rFonts w:ascii="Arial" w:eastAsia="Times New Roman" w:hAnsi="Arial" w:cs="Arial"/>
          <w:color w:val="000000"/>
          <w:sz w:val="18"/>
          <w:szCs w:val="18"/>
          <w:lang w:eastAsia="es-CO"/>
        </w:rPr>
      </w:pPr>
      <w:r w:rsidRPr="00E278C5">
        <w:rPr>
          <w:rFonts w:ascii="Segoe UI" w:eastAsia="Times New Roman" w:hAnsi="Segoe UI" w:cs="Segoe UI"/>
          <w:color w:val="000000"/>
          <w:sz w:val="18"/>
          <w:szCs w:val="18"/>
          <w:lang w:eastAsia="es-CO"/>
        </w:rPr>
        <w:t>En este contexto, en el entendido que cuando se pagan honorarios a personas naturales </w:t>
      </w:r>
      <w:r w:rsidRPr="00E278C5">
        <w:rPr>
          <w:rFonts w:ascii="Segoe UI" w:eastAsia="Times New Roman" w:hAnsi="Segoe UI" w:cs="Segoe UI"/>
          <w:b/>
          <w:bCs/>
          <w:color w:val="000000"/>
          <w:sz w:val="18"/>
          <w:szCs w:val="18"/>
          <w:u w:val="single"/>
          <w:lang w:eastAsia="es-CO"/>
        </w:rPr>
        <w:t>que han contratado dos (2) o más trabajadores</w:t>
      </w:r>
      <w:r w:rsidRPr="00E278C5">
        <w:rPr>
          <w:rFonts w:ascii="Segoe UI" w:eastAsia="Times New Roman" w:hAnsi="Segoe UI" w:cs="Segoe UI"/>
          <w:b/>
          <w:bCs/>
          <w:color w:val="000000"/>
          <w:sz w:val="18"/>
          <w:szCs w:val="18"/>
          <w:lang w:eastAsia="es-CO"/>
        </w:rPr>
        <w:t> </w:t>
      </w:r>
      <w:r w:rsidRPr="00E278C5">
        <w:rPr>
          <w:rFonts w:ascii="Segoe UI" w:eastAsia="Times New Roman" w:hAnsi="Segoe UI" w:cs="Segoe UI"/>
          <w:color w:val="000000"/>
          <w:sz w:val="18"/>
          <w:szCs w:val="18"/>
          <w:lang w:eastAsia="es-CO"/>
        </w:rPr>
        <w:t>vinculados a la actividad en un período continuo o discontinuo de 90 días, se debe aplicar la tarifa de retención establecida para el concepto de honorarios de que trata el </w:t>
      </w:r>
      <w:hyperlink r:id="rId4" w:tooltip="Estatuto Tributario CETA" w:history="1">
        <w:r w:rsidRPr="00E278C5">
          <w:rPr>
            <w:rFonts w:ascii="Segoe UI" w:eastAsia="Times New Roman" w:hAnsi="Segoe UI" w:cs="Segoe UI"/>
            <w:color w:val="0089E1"/>
            <w:sz w:val="18"/>
            <w:szCs w:val="18"/>
            <w:u w:val="single"/>
            <w:lang w:eastAsia="es-CO"/>
          </w:rPr>
          <w:t>artículo 392</w:t>
        </w:r>
      </w:hyperlink>
      <w:r w:rsidRPr="00E278C5">
        <w:rPr>
          <w:rFonts w:ascii="Segoe UI" w:eastAsia="Times New Roman" w:hAnsi="Segoe UI" w:cs="Segoe UI"/>
          <w:color w:val="000000"/>
          <w:sz w:val="18"/>
          <w:szCs w:val="18"/>
          <w:lang w:eastAsia="es-CO"/>
        </w:rPr>
        <w:t> del E.T., se requiere establecer:</w:t>
      </w:r>
    </w:p>
    <w:p w:rsidR="00E278C5" w:rsidRPr="00E278C5" w:rsidRDefault="00E278C5" w:rsidP="00E278C5">
      <w:pPr>
        <w:spacing w:after="0" w:line="240" w:lineRule="auto"/>
        <w:ind w:left="180"/>
        <w:jc w:val="both"/>
        <w:rPr>
          <w:rFonts w:ascii="Arial" w:eastAsia="Times New Roman" w:hAnsi="Arial" w:cs="Arial"/>
          <w:color w:val="000000"/>
          <w:sz w:val="18"/>
          <w:szCs w:val="18"/>
          <w:lang w:eastAsia="es-CO"/>
        </w:rPr>
      </w:pPr>
      <w:r w:rsidRPr="00E278C5">
        <w:rPr>
          <w:rFonts w:ascii="Segoe UI" w:eastAsia="Times New Roman" w:hAnsi="Segoe UI" w:cs="Segoe UI"/>
          <w:color w:val="000000"/>
          <w:sz w:val="18"/>
          <w:szCs w:val="18"/>
          <w:lang w:eastAsia="es-CO"/>
        </w:rPr>
        <w:t> </w:t>
      </w:r>
    </w:p>
    <w:p w:rsidR="00E278C5" w:rsidRPr="00E278C5" w:rsidRDefault="00E278C5" w:rsidP="00E278C5">
      <w:pPr>
        <w:spacing w:after="0" w:line="240" w:lineRule="auto"/>
        <w:ind w:left="180"/>
        <w:jc w:val="both"/>
        <w:rPr>
          <w:rFonts w:ascii="Arial" w:eastAsia="Times New Roman" w:hAnsi="Arial" w:cs="Arial"/>
          <w:color w:val="000000"/>
          <w:sz w:val="18"/>
          <w:szCs w:val="18"/>
          <w:lang w:eastAsia="es-CO"/>
        </w:rPr>
      </w:pPr>
      <w:r w:rsidRPr="00E278C5">
        <w:rPr>
          <w:rFonts w:ascii="Segoe UI" w:eastAsia="Times New Roman" w:hAnsi="Segoe UI" w:cs="Segoe UI"/>
          <w:color w:val="000000"/>
          <w:sz w:val="18"/>
          <w:szCs w:val="18"/>
          <w:lang w:eastAsia="es-CO"/>
        </w:rPr>
        <w:t>1. ¿Puede el agente de retención aminorar la base de retención en la fuente con los conceptos de aportes obligatorios a salud y pensión que haya realizado el contratista? ¿se debe aplicar algún límite?</w:t>
      </w:r>
    </w:p>
    <w:p w:rsidR="00E278C5" w:rsidRPr="00E278C5" w:rsidRDefault="00E278C5" w:rsidP="00E278C5">
      <w:pPr>
        <w:spacing w:after="0" w:line="240" w:lineRule="auto"/>
        <w:ind w:left="180"/>
        <w:jc w:val="both"/>
        <w:rPr>
          <w:rFonts w:ascii="Arial" w:eastAsia="Times New Roman" w:hAnsi="Arial" w:cs="Arial"/>
          <w:color w:val="000000"/>
          <w:sz w:val="18"/>
          <w:szCs w:val="18"/>
          <w:lang w:eastAsia="es-CO"/>
        </w:rPr>
      </w:pPr>
      <w:r w:rsidRPr="00E278C5">
        <w:rPr>
          <w:rFonts w:ascii="Segoe UI" w:eastAsia="Times New Roman" w:hAnsi="Segoe UI" w:cs="Segoe UI"/>
          <w:color w:val="000000"/>
          <w:sz w:val="18"/>
          <w:szCs w:val="18"/>
          <w:lang w:eastAsia="es-CO"/>
        </w:rPr>
        <w:t>2. ¿Puede el agente de retención aminorar la base de retención en la fuente con los conceptos que solicite al contratista aportar a cuentas AFC o aportes voluntarios a pensiones AVP, y hasta qué límite?</w:t>
      </w:r>
    </w:p>
    <w:p w:rsidR="00E278C5" w:rsidRPr="00E278C5" w:rsidRDefault="00E278C5" w:rsidP="00E278C5">
      <w:pPr>
        <w:spacing w:after="0" w:line="240" w:lineRule="auto"/>
        <w:ind w:left="180"/>
        <w:jc w:val="both"/>
        <w:rPr>
          <w:rFonts w:ascii="Arial" w:eastAsia="Times New Roman" w:hAnsi="Arial" w:cs="Arial"/>
          <w:color w:val="000000"/>
          <w:sz w:val="18"/>
          <w:szCs w:val="18"/>
          <w:lang w:eastAsia="es-CO"/>
        </w:rPr>
      </w:pPr>
      <w:r w:rsidRPr="00E278C5">
        <w:rPr>
          <w:rFonts w:ascii="Segoe UI" w:eastAsia="Times New Roman" w:hAnsi="Segoe UI" w:cs="Segoe UI"/>
          <w:color w:val="000000"/>
          <w:sz w:val="18"/>
          <w:szCs w:val="18"/>
          <w:lang w:eastAsia="es-CO"/>
        </w:rPr>
        <w:t>3. ¿Qué otros conceptos pueden ser utilizados por el contratista que recibe honorarios de renta no laborales, para que se (sic) base de retención sea aminorada y en consecuencia se le practique una menor retención?</w:t>
      </w:r>
    </w:p>
    <w:p w:rsidR="00E278C5" w:rsidRPr="00E278C5" w:rsidRDefault="00E278C5" w:rsidP="00E278C5">
      <w:pPr>
        <w:spacing w:after="0" w:line="240" w:lineRule="auto"/>
        <w:ind w:left="180"/>
        <w:jc w:val="both"/>
        <w:rPr>
          <w:rFonts w:ascii="Arial" w:eastAsia="Times New Roman" w:hAnsi="Arial" w:cs="Arial"/>
          <w:color w:val="000000"/>
          <w:sz w:val="18"/>
          <w:szCs w:val="18"/>
          <w:lang w:eastAsia="es-CO"/>
        </w:rPr>
      </w:pPr>
      <w:r w:rsidRPr="00E278C5">
        <w:rPr>
          <w:rFonts w:ascii="Segoe UI" w:eastAsia="Times New Roman" w:hAnsi="Segoe UI" w:cs="Segoe UI"/>
          <w:color w:val="000000"/>
          <w:sz w:val="18"/>
          <w:szCs w:val="18"/>
          <w:lang w:eastAsia="es-CO"/>
        </w:rPr>
        <w:t>(…)”</w:t>
      </w:r>
    </w:p>
    <w:p w:rsidR="00E278C5" w:rsidRDefault="00E278C5" w:rsidP="00E278C5">
      <w:pPr>
        <w:spacing w:after="0" w:line="240" w:lineRule="auto"/>
        <w:jc w:val="both"/>
        <w:rPr>
          <w:rFonts w:ascii="Segoe UI" w:eastAsia="Times New Roman" w:hAnsi="Segoe UI" w:cs="Segoe UI"/>
          <w:color w:val="000000"/>
          <w:sz w:val="18"/>
          <w:szCs w:val="18"/>
          <w:lang w:eastAsia="es-CO"/>
        </w:rPr>
      </w:pPr>
    </w:p>
    <w:p w:rsidR="00E278C5" w:rsidRDefault="00E278C5" w:rsidP="00E278C5">
      <w:pPr>
        <w:spacing w:after="0" w:line="240" w:lineRule="auto"/>
        <w:jc w:val="both"/>
        <w:rPr>
          <w:rFonts w:ascii="Segoe UI" w:eastAsia="Times New Roman" w:hAnsi="Segoe UI" w:cs="Segoe UI"/>
          <w:color w:val="000000"/>
          <w:sz w:val="18"/>
          <w:szCs w:val="18"/>
          <w:lang w:eastAsia="es-CO"/>
        </w:rPr>
      </w:pPr>
    </w:p>
    <w:p w:rsidR="00E278C5" w:rsidRPr="00E278C5" w:rsidRDefault="00E278C5" w:rsidP="00E278C5">
      <w:pPr>
        <w:spacing w:after="0" w:line="240" w:lineRule="auto"/>
        <w:jc w:val="both"/>
        <w:rPr>
          <w:rFonts w:ascii="Arial" w:eastAsia="Times New Roman" w:hAnsi="Arial" w:cs="Arial"/>
          <w:color w:val="000000"/>
          <w:sz w:val="18"/>
          <w:szCs w:val="18"/>
          <w:lang w:eastAsia="es-CO"/>
        </w:rPr>
      </w:pPr>
      <w:r w:rsidRPr="00E278C5">
        <w:rPr>
          <w:rFonts w:ascii="Segoe UI" w:eastAsia="Times New Roman" w:hAnsi="Segoe UI" w:cs="Segoe UI"/>
          <w:color w:val="000000"/>
          <w:sz w:val="18"/>
          <w:szCs w:val="18"/>
          <w:lang w:eastAsia="es-CO"/>
        </w:rPr>
        <w:t>Teniendo en cuenta que no existe una disposición especial ni regulación que permita detraer ciertos conceptos de la base de retención en la fuente para pagos por honorarios realizados a personas que no hayan contratado a dos (2) o más personas por un período continuo igual o superior noventa (90) días, no será posible detraer ningún concepto de dicha base para calcular la correspondiente retención en la fuente.</w:t>
      </w:r>
    </w:p>
    <w:p w:rsidR="00E278C5" w:rsidRPr="00E278C5" w:rsidRDefault="00E278C5" w:rsidP="00E278C5">
      <w:pPr>
        <w:spacing w:after="0" w:line="240" w:lineRule="auto"/>
        <w:jc w:val="both"/>
        <w:rPr>
          <w:rFonts w:ascii="Arial" w:eastAsia="Times New Roman" w:hAnsi="Arial" w:cs="Arial"/>
          <w:color w:val="000000"/>
          <w:sz w:val="18"/>
          <w:szCs w:val="18"/>
          <w:lang w:eastAsia="es-CO"/>
        </w:rPr>
      </w:pPr>
      <w:r w:rsidRPr="00E278C5">
        <w:rPr>
          <w:rFonts w:ascii="Segoe UI" w:eastAsia="Times New Roman" w:hAnsi="Segoe UI" w:cs="Segoe UI"/>
          <w:color w:val="000000"/>
          <w:sz w:val="18"/>
          <w:szCs w:val="18"/>
          <w:lang w:eastAsia="es-CO"/>
        </w:rPr>
        <w:t> </w:t>
      </w:r>
    </w:p>
    <w:p w:rsidR="00E278C5" w:rsidRPr="00E278C5" w:rsidRDefault="00E278C5" w:rsidP="00E278C5">
      <w:pPr>
        <w:spacing w:after="0" w:line="240" w:lineRule="auto"/>
        <w:jc w:val="both"/>
        <w:rPr>
          <w:rFonts w:ascii="Arial" w:eastAsia="Times New Roman" w:hAnsi="Arial" w:cs="Arial"/>
          <w:color w:val="000000"/>
          <w:sz w:val="18"/>
          <w:szCs w:val="18"/>
          <w:lang w:eastAsia="es-CO"/>
        </w:rPr>
      </w:pPr>
      <w:r w:rsidRPr="00E278C5">
        <w:rPr>
          <w:rFonts w:ascii="Segoe UI" w:eastAsia="Times New Roman" w:hAnsi="Segoe UI" w:cs="Segoe UI"/>
          <w:color w:val="000000"/>
          <w:sz w:val="18"/>
          <w:szCs w:val="18"/>
          <w:lang w:eastAsia="es-CO"/>
        </w:rPr>
        <w:t>Atentamente,</w:t>
      </w:r>
    </w:p>
    <w:p w:rsidR="00E278C5" w:rsidRPr="00E278C5" w:rsidRDefault="00E278C5" w:rsidP="00E278C5">
      <w:pPr>
        <w:spacing w:after="0" w:line="240" w:lineRule="auto"/>
        <w:jc w:val="both"/>
        <w:rPr>
          <w:rFonts w:ascii="Arial" w:eastAsia="Times New Roman" w:hAnsi="Arial" w:cs="Arial"/>
          <w:color w:val="000000"/>
          <w:sz w:val="18"/>
          <w:szCs w:val="18"/>
          <w:lang w:eastAsia="es-CO"/>
        </w:rPr>
      </w:pPr>
      <w:r w:rsidRPr="00E278C5">
        <w:rPr>
          <w:rFonts w:ascii="Segoe UI" w:eastAsia="Times New Roman" w:hAnsi="Segoe UI" w:cs="Segoe UI"/>
          <w:color w:val="000000"/>
          <w:sz w:val="18"/>
          <w:szCs w:val="18"/>
          <w:lang w:eastAsia="es-CO"/>
        </w:rPr>
        <w:t> </w:t>
      </w:r>
    </w:p>
    <w:p w:rsidR="00E278C5" w:rsidRPr="00E278C5" w:rsidRDefault="00E278C5" w:rsidP="00E278C5">
      <w:pPr>
        <w:spacing w:after="0" w:line="240" w:lineRule="auto"/>
        <w:jc w:val="both"/>
        <w:rPr>
          <w:rFonts w:ascii="Arial" w:eastAsia="Times New Roman" w:hAnsi="Arial" w:cs="Arial"/>
          <w:color w:val="000000"/>
          <w:sz w:val="18"/>
          <w:szCs w:val="18"/>
          <w:lang w:eastAsia="es-CO"/>
        </w:rPr>
      </w:pPr>
      <w:r w:rsidRPr="00E278C5">
        <w:rPr>
          <w:rFonts w:ascii="Segoe UI" w:eastAsia="Times New Roman" w:hAnsi="Segoe UI" w:cs="Segoe UI"/>
          <w:color w:val="000000"/>
          <w:sz w:val="18"/>
          <w:szCs w:val="18"/>
          <w:lang w:eastAsia="es-CO"/>
        </w:rPr>
        <w:t> </w:t>
      </w:r>
    </w:p>
    <w:p w:rsidR="00E278C5" w:rsidRPr="00E278C5" w:rsidRDefault="00E278C5" w:rsidP="00E278C5">
      <w:pPr>
        <w:spacing w:after="0" w:line="240" w:lineRule="auto"/>
        <w:jc w:val="both"/>
        <w:rPr>
          <w:rFonts w:ascii="Arial" w:eastAsia="Times New Roman" w:hAnsi="Arial" w:cs="Arial"/>
          <w:color w:val="000000"/>
          <w:sz w:val="18"/>
          <w:szCs w:val="18"/>
          <w:lang w:eastAsia="es-CO"/>
        </w:rPr>
      </w:pPr>
      <w:r w:rsidRPr="00E278C5">
        <w:rPr>
          <w:rFonts w:ascii="Segoe UI" w:eastAsia="Times New Roman" w:hAnsi="Segoe UI" w:cs="Segoe UI"/>
          <w:b/>
          <w:bCs/>
          <w:color w:val="000000"/>
          <w:sz w:val="18"/>
          <w:szCs w:val="18"/>
          <w:lang w:eastAsia="es-CO"/>
        </w:rPr>
        <w:t>LORENZO CASTILLO BARVO</w:t>
      </w:r>
    </w:p>
    <w:p w:rsidR="00E278C5" w:rsidRPr="00E278C5" w:rsidRDefault="00E278C5" w:rsidP="00E278C5">
      <w:pPr>
        <w:spacing w:after="0" w:line="240" w:lineRule="auto"/>
        <w:jc w:val="both"/>
        <w:rPr>
          <w:rFonts w:ascii="Arial" w:eastAsia="Times New Roman" w:hAnsi="Arial" w:cs="Arial"/>
          <w:color w:val="000000"/>
          <w:sz w:val="18"/>
          <w:szCs w:val="18"/>
          <w:lang w:eastAsia="es-CO"/>
        </w:rPr>
      </w:pPr>
      <w:r w:rsidRPr="00E278C5">
        <w:rPr>
          <w:rFonts w:ascii="Segoe UI" w:eastAsia="Times New Roman" w:hAnsi="Segoe UI" w:cs="Segoe UI"/>
          <w:color w:val="000000"/>
          <w:sz w:val="18"/>
          <w:szCs w:val="18"/>
          <w:lang w:eastAsia="es-CO"/>
        </w:rPr>
        <w:t>Subdirector de Gestión Normativa y Doctrina (E)</w:t>
      </w:r>
    </w:p>
    <w:p w:rsidR="00E278C5" w:rsidRPr="00E278C5" w:rsidRDefault="00E278C5" w:rsidP="00E278C5">
      <w:pPr>
        <w:spacing w:after="0" w:line="240" w:lineRule="auto"/>
        <w:jc w:val="both"/>
        <w:rPr>
          <w:rFonts w:ascii="Arial" w:eastAsia="Times New Roman" w:hAnsi="Arial" w:cs="Arial"/>
          <w:color w:val="000000"/>
          <w:sz w:val="18"/>
          <w:szCs w:val="18"/>
          <w:lang w:eastAsia="es-CO"/>
        </w:rPr>
      </w:pPr>
      <w:r w:rsidRPr="00E278C5">
        <w:rPr>
          <w:rFonts w:ascii="Segoe UI" w:eastAsia="Times New Roman" w:hAnsi="Segoe UI" w:cs="Segoe UI"/>
          <w:color w:val="000000"/>
          <w:sz w:val="18"/>
          <w:szCs w:val="18"/>
          <w:lang w:eastAsia="es-CO"/>
        </w:rPr>
        <w:t>Dirección de Gestión Jurídica</w:t>
      </w:r>
    </w:p>
    <w:p w:rsidR="00E278C5" w:rsidRPr="00E278C5" w:rsidRDefault="00E278C5" w:rsidP="00E278C5">
      <w:pPr>
        <w:spacing w:after="0" w:line="240" w:lineRule="auto"/>
        <w:jc w:val="both"/>
        <w:rPr>
          <w:rFonts w:ascii="Arial" w:eastAsia="Times New Roman" w:hAnsi="Arial" w:cs="Arial"/>
          <w:color w:val="000000"/>
          <w:sz w:val="18"/>
          <w:szCs w:val="18"/>
          <w:lang w:eastAsia="es-CO"/>
        </w:rPr>
      </w:pPr>
      <w:r w:rsidRPr="00E278C5">
        <w:rPr>
          <w:rFonts w:ascii="Segoe UI" w:eastAsia="Times New Roman" w:hAnsi="Segoe UI" w:cs="Segoe UI"/>
          <w:color w:val="000000"/>
          <w:sz w:val="18"/>
          <w:szCs w:val="18"/>
          <w:lang w:eastAsia="es-CO"/>
        </w:rPr>
        <w:t>UAE – Dirección de Impuestos y Aduanas Nacionales</w:t>
      </w:r>
    </w:p>
    <w:p w:rsidR="00730617" w:rsidRDefault="00730617"/>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C5"/>
    <w:rsid w:val="00730617"/>
    <w:rsid w:val="00A45230"/>
    <w:rsid w:val="00E278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35DCC"/>
  <w15:chartTrackingRefBased/>
  <w15:docId w15:val="{828F0150-5BCB-406F-A756-D28221203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26687">
      <w:bodyDiv w:val="1"/>
      <w:marLeft w:val="0"/>
      <w:marRight w:val="0"/>
      <w:marTop w:val="0"/>
      <w:marBottom w:val="0"/>
      <w:divBdr>
        <w:top w:val="none" w:sz="0" w:space="0" w:color="auto"/>
        <w:left w:val="none" w:sz="0" w:space="0" w:color="auto"/>
        <w:bottom w:val="none" w:sz="0" w:space="0" w:color="auto"/>
        <w:right w:val="none" w:sz="0" w:space="0" w:color="auto"/>
      </w:divBdr>
    </w:div>
    <w:div w:id="1032802443">
      <w:bodyDiv w:val="1"/>
      <w:marLeft w:val="0"/>
      <w:marRight w:val="0"/>
      <w:marTop w:val="0"/>
      <w:marBottom w:val="0"/>
      <w:divBdr>
        <w:top w:val="none" w:sz="0" w:space="0" w:color="auto"/>
        <w:left w:val="none" w:sz="0" w:space="0" w:color="auto"/>
        <w:bottom w:val="none" w:sz="0" w:space="0" w:color="auto"/>
        <w:right w:val="none" w:sz="0" w:space="0" w:color="auto"/>
      </w:divBdr>
    </w:div>
    <w:div w:id="1599175491">
      <w:bodyDiv w:val="1"/>
      <w:marLeft w:val="0"/>
      <w:marRight w:val="0"/>
      <w:marTop w:val="0"/>
      <w:marBottom w:val="0"/>
      <w:divBdr>
        <w:top w:val="none" w:sz="0" w:space="0" w:color="auto"/>
        <w:left w:val="none" w:sz="0" w:space="0" w:color="auto"/>
        <w:bottom w:val="none" w:sz="0" w:space="0" w:color="auto"/>
        <w:right w:val="none" w:sz="0" w:space="0" w:color="auto"/>
      </w:divBdr>
    </w:div>
    <w:div w:id="195015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eta.org.co/html/vista_de_un_articulo.asp?Norma=48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505</Words>
  <Characters>2778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2019-03-27T12:55:00Z</dcterms:created>
  <dcterms:modified xsi:type="dcterms:W3CDTF">2019-03-27T12:58:00Z</dcterms:modified>
</cp:coreProperties>
</file>